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D49" w:rsidRDefault="008F311D" w:rsidP="008F311D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Лекция № 1</w:t>
      </w:r>
    </w:p>
    <w:p w:rsidR="008F311D" w:rsidRDefault="008F311D" w:rsidP="008F311D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CE763B" w:rsidRPr="00E7451C" w:rsidRDefault="00CE763B" w:rsidP="00E7451C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51C">
        <w:rPr>
          <w:rFonts w:ascii="Times New Roman" w:hAnsi="Times New Roman" w:cs="Times New Roman"/>
          <w:b/>
          <w:sz w:val="28"/>
          <w:szCs w:val="28"/>
        </w:rPr>
        <w:t>История</w:t>
      </w:r>
      <w:r w:rsidR="00E7451C" w:rsidRPr="00E7451C">
        <w:rPr>
          <w:rFonts w:ascii="Times New Roman" w:hAnsi="Times New Roman" w:cs="Times New Roman"/>
          <w:b/>
          <w:sz w:val="28"/>
          <w:szCs w:val="28"/>
        </w:rPr>
        <w:t xml:space="preserve"> энергетики </w:t>
      </w:r>
      <w:r w:rsidR="00E7451C">
        <w:rPr>
          <w:rFonts w:ascii="Times New Roman" w:hAnsi="Times New Roman" w:cs="Times New Roman"/>
          <w:b/>
          <w:sz w:val="28"/>
          <w:szCs w:val="28"/>
        </w:rPr>
        <w:t xml:space="preserve">Восточного </w:t>
      </w:r>
      <w:r w:rsidR="00E7451C" w:rsidRPr="00E7451C">
        <w:rPr>
          <w:rFonts w:ascii="Times New Roman" w:hAnsi="Times New Roman" w:cs="Times New Roman"/>
          <w:b/>
          <w:sz w:val="28"/>
          <w:szCs w:val="28"/>
        </w:rPr>
        <w:t>Казахстана, ее</w:t>
      </w:r>
      <w:r w:rsidRPr="00E7451C">
        <w:rPr>
          <w:rFonts w:ascii="Times New Roman" w:hAnsi="Times New Roman" w:cs="Times New Roman"/>
          <w:b/>
          <w:sz w:val="28"/>
          <w:szCs w:val="28"/>
        </w:rPr>
        <w:t xml:space="preserve"> проблемы и возможности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Становление и развитие энергетики в Восточном Казахстане имеет давнюю историю.  Начиная с 1792 года здесь стала развиваться горнопромышленная отрасль, а богатейший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Зыряновский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рудник был известен всему миру. Для его целей, в 1892 году на реке Березовка была построена первая в Царской России Березовская ГЭС. Она была спроектирована и возведена под руководством Никиты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Кошкарова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имела четыре агрегата общей мощностью 150 кВт [1].</w:t>
      </w:r>
      <w:r w:rsidRPr="00721DAC">
        <w:rPr>
          <w:rFonts w:ascii="Times New Roman" w:eastAsia="Calibri" w:hAnsi="Times New Roman" w:cs="Times New Roman"/>
        </w:rPr>
        <w:t xml:space="preserve"> 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1902 году на реке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Тургусун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была пущена ГЭС, которая являлась крупнейшей в мире на тот период.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1913 году суммарная мощность всех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энергогенерирующих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установок на территории современного Казахстана составляла 2,5 мВт, а годовая выработка электроэнергии 43 </w:t>
      </w:r>
      <w:proofErr w:type="spellStart"/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млн.кВт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>×час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В 26 августа 1920 года в составе РСФСР (России) была образована Казахская АССР, а в конце этого же года, 22 декабря, на 8-м съезде компартии был утвержден план ГОЭЛРО (Государственной электрификации России) Советов [2]. Государственную комиссию по электрификации возглавил крупнейший ученый того времени, академик Г.М. Кржижановский, который и выступил с докладом.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честь этого события все энергетики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поссоветского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пространства отмечают 22 декабря как свой профессиональный праздник. 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Пред история этой программы следующая.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В 1898 году в Германии под псевдонимом «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Атлантикус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выходит исследование Карла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Баллода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«Государство будущего. Производство и потребление в социальном государстве». 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Бoльшая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часть книги представляет собой строгие математические расчёты и статистические выкладки, объединенные центральной идеей: «При надлежащей организации производства, под условием использования всех возможных на данный момент технических усовершенствований, уровень благосостояния народа вырастет, доход рабочего может быть увеличен до трех раз, а рабочее время сокращено в два раза».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Разработку экономической модели будущего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Баллод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производит на примере экономики Германии. Поэтому исходит из оценки её естественных производительных сил и начинает экономическое моделирование с электрификации и реорганизации структуры сельского хозяйства: «Каждая из электростанций сможет обслуживать по 10 крупных сельхозпредприятий, расположенных на площади в 200 гектаров». Далее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Баллод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оценивает дополнительную возможность увеличения урожайности вследствие централизованного внедрения передовых технологий: «обработки почвы, удобрения, мелиорации». В этом случае можно уменьшить количество пахотных земель и число людей, занятых в сельском хозяйстве. И, наконец, предлагает рациональную механизацию сельского хозяйства.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В итоге Карл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Баллод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приходит к следующим основным выводам о ключевых факторах более эффективной организации экономики.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Первое. «Централизованная организация экономики» по плану как единого целого при использовании имеющихся естественных производительных сил позволяет сбалансировать спрос и предложение, существенно сэкономить национальные ресурсы, избежать параллелизма, получить рост экономики за счёт высокой концентрации и большого эффекта масштаба.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Второе. «Электрификация народного хозяйства» создает базовое условие для развития всех отраслей экономики.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Третье. Целенаправленное «внедрение достижений науки и техники» является следующим базовым условием развития всех отраслей экономики, обеспечивает её передовой технологический уровень.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Четвертое. Предпринимательская инициатива: «Производство предметов роскоши, мебели, постройку частных жилищ, садоводство и огородничество, домоводство можно без всякого ущерба предоставить частной инициативе». 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Пятое. Ставка на крупные хозяйства в аграрном производстве обеспечивает большую эффективность сельского хозяйства в целом. Наряду с созданием крупных государственных сельскохозяйственных предприятий «каждой семье должен быть предоставлен по её требованию от государства участок земли приблизительно в 0,25 – 0,5 гектара в наследственное владение, для устройства дома и сада».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Баллод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математически доказывает и рационально обосновывает ключевые факторы создания в рамках одной, отдельно взятой страны, экономику качественно более высокого уровня общественного благополучия. 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E6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Центральное место в его плановых построениях занимает системный алгоритм возрождения и развития экономики, его основные этапы и их последовательность: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первый этап - электрификация, восстановление и подъем снабжения топливом и сырьем;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второй - развитие транспорта;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третий - технологическое развитие и техническое переоснащение экономики;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четвертый - рост производительности труда;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пятый - защита внутреннего рынка от импорта;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шестой - рост емкости внутреннего рынка за счет модернизации структуры промышленности;</w:t>
      </w:r>
    </w:p>
    <w:p w:rsidR="00CE763B" w:rsidRPr="00721DAC" w:rsidRDefault="00CE763B" w:rsidP="00CE763B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седьмой - привлечение инвестиций.</w:t>
      </w:r>
    </w:p>
    <w:p w:rsidR="00CE763B" w:rsidRPr="00721DAC" w:rsidRDefault="00CE763B" w:rsidP="00CE763B">
      <w:pPr>
        <w:spacing w:after="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Как уже отмечалось, в 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декабре 1920 года в России утверждается государственный план электрификации страны - ГОЭЛРО, где есть целый раздел под названием «Германский проект профессора К.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Баллода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».  Кроме того, в этом плане есть еще ссылка на одну работу - книгу «Послевоенные перспективы русской промышленности» профессора Василия Игнатьевича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Гриневецкого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вышедшей в 1918 году в Харькове. Эти работы послужили предтечей разработки данной программы. 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каждому этапу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Гриневецкий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чётко описывает и структурирует проблемы, а также предлагает их решения, обосновывая в необходимых случаях расчетами.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своих работах Карл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Баллод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Василий Игнатьевич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Гриневецкий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формулируют универсальные подходы (принципы) опережающего развития экономики. Практика показывает, что они прошли историческую проверку временем и сегодня реализуются в той или иной мере, в тех или иных формах.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Целевое организованное развитие экономики по плану. 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Развитие естественных производительных сил. 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Опережающее создание инфраструктуры. 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Централизованная электрификация. 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Объединение групп промышленности. Сегодня этот принцип реализуется в форме создания кластеров и экосистем.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Внедрение передовых технологий и техники, тесная интеграция образования и экономики.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Повышение производительности труда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Предпринимательская инициатива, привлечение инвестиций. 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Импортозамещение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CE763B" w:rsidRPr="00721DAC" w:rsidRDefault="00CE763B" w:rsidP="00CE763B">
      <w:pPr>
        <w:numPr>
          <w:ilvl w:val="0"/>
          <w:numId w:val="7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Развитие сельского хозяйства. </w:t>
      </w:r>
    </w:p>
    <w:p w:rsidR="00CE763B" w:rsidRPr="00721DAC" w:rsidRDefault="00CE763B" w:rsidP="00CE763B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При этом наравне с верными подходами к опережающему развитию экономики решающее значение имеют:</w:t>
      </w:r>
    </w:p>
    <w:p w:rsidR="00CE763B" w:rsidRPr="00721DAC" w:rsidRDefault="00CE763B" w:rsidP="00CE763B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механизмы практической реализации данных подходов, их продуманность, конкретность и качество воплощения;</w:t>
      </w:r>
    </w:p>
    <w:p w:rsidR="00CE763B" w:rsidRPr="00721DAC" w:rsidRDefault="00CE763B" w:rsidP="00CE763B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мотивация людей к хозяйственному </w:t>
      </w:r>
      <w:r w:rsidRPr="00721DA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творчеству и 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общественной </w:t>
      </w:r>
      <w:r w:rsidRPr="00721DA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деловитости.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Основу для разработки и реализации плана электрификации кроме работ 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Карла </w:t>
      </w:r>
      <w:proofErr w:type="spellStart"/>
      <w:proofErr w:type="gram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Баллода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и</w:t>
      </w:r>
      <w:proofErr w:type="gram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Василия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>Гриневецкого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 также </w:t>
      </w:r>
      <w:r w:rsidRPr="00721DAC">
        <w:rPr>
          <w:rFonts w:ascii="Times New Roman" w:eastAsia="Calibri" w:hAnsi="Times New Roman" w:cs="Times New Roman"/>
          <w:sz w:val="28"/>
          <w:szCs w:val="28"/>
        </w:rPr>
        <w:t>обеспечила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структура 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КЕПС (комиссия по изучению естественных производительных сил России), созданная в 1915 году в России. 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КЕПС создаётся стараниями выдающегося русского ученого Владимира Ивановича Вернадского. К концу 1917 года роль этой комиссии значительно возрастает, а сама работа - интенсифицируется. Комиссия контролирует деятельность целого ряда институтов и научных отделов:</w:t>
      </w:r>
    </w:p>
    <w:p w:rsidR="00CE763B" w:rsidRPr="00721DAC" w:rsidRDefault="00CE763B" w:rsidP="00CE763B">
      <w:pPr>
        <w:numPr>
          <w:ilvl w:val="0"/>
          <w:numId w:val="8"/>
        </w:numPr>
        <w:spacing w:after="0" w:line="240" w:lineRule="auto"/>
        <w:ind w:left="1134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института физико-химического анализа;</w:t>
      </w:r>
    </w:p>
    <w:p w:rsidR="00CE763B" w:rsidRPr="00721DAC" w:rsidRDefault="00CE763B" w:rsidP="00CE763B">
      <w:pPr>
        <w:numPr>
          <w:ilvl w:val="0"/>
          <w:numId w:val="8"/>
        </w:numPr>
        <w:spacing w:after="0" w:line="240" w:lineRule="auto"/>
        <w:ind w:left="1134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платинового института;</w:t>
      </w:r>
    </w:p>
    <w:p w:rsidR="00CE763B" w:rsidRPr="00721DAC" w:rsidRDefault="00CE763B" w:rsidP="00CE763B">
      <w:pPr>
        <w:numPr>
          <w:ilvl w:val="0"/>
          <w:numId w:val="8"/>
        </w:numPr>
        <w:spacing w:after="0" w:line="240" w:lineRule="auto"/>
        <w:ind w:left="1134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отдела нерудных ископаемых и драгоценного камня;</w:t>
      </w:r>
    </w:p>
    <w:p w:rsidR="00CE763B" w:rsidRPr="00721DAC" w:rsidRDefault="00CE763B" w:rsidP="00CE763B">
      <w:pPr>
        <w:numPr>
          <w:ilvl w:val="0"/>
          <w:numId w:val="8"/>
        </w:numPr>
        <w:spacing w:after="0" w:line="240" w:lineRule="auto"/>
        <w:ind w:left="1134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отдела каменных и строительных материалов;</w:t>
      </w:r>
    </w:p>
    <w:p w:rsidR="00CE763B" w:rsidRPr="00721DAC" w:rsidRDefault="00CE763B" w:rsidP="00CE763B">
      <w:pPr>
        <w:numPr>
          <w:ilvl w:val="0"/>
          <w:numId w:val="8"/>
        </w:numPr>
        <w:spacing w:after="0" w:line="240" w:lineRule="auto"/>
        <w:ind w:left="1134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отдела глиняных материалов;</w:t>
      </w:r>
    </w:p>
    <w:p w:rsidR="00CE763B" w:rsidRPr="00721DAC" w:rsidRDefault="00CE763B" w:rsidP="00CE763B">
      <w:pPr>
        <w:numPr>
          <w:ilvl w:val="0"/>
          <w:numId w:val="8"/>
        </w:numPr>
        <w:spacing w:after="0" w:line="240" w:lineRule="auto"/>
        <w:ind w:left="1134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отдела энергетики.</w:t>
      </w:r>
    </w:p>
    <w:p w:rsidR="00CE763B" w:rsidRPr="00721DAC" w:rsidRDefault="00CE763B" w:rsidP="00CE763B">
      <w:pPr>
        <w:spacing w:after="0" w:line="240" w:lineRule="auto"/>
        <w:ind w:left="-142" w:firstLine="7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21 февраля 1920 года образуется Государственная комиссия по электрификации России (ГОЭЛРО). В состав Комиссии входят 19 человек. </w:t>
      </w:r>
      <w:r w:rsidRPr="00721D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Возглавляет Комиссию Глеб Максимилианович Кржижановский из ближнего круга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В.И.Ленина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22 декабря 1920 года утверждается план электрификации, который включает в себя 672 страницы текста и большое количество схем и графиков. Концепция плана ГОЭЛРО состоит в целостной организации развития экономики и энергетики, ведущим звеном развития которых является электрификация [3].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Проект экономического районирования Госплана этого периода предусматривал выделение 21 района. Среди них были такие: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Центрально-Промышленный.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Центрально-Черноземный.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Северо-Западный.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Северо-Восточный.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Западный.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Юго-Западный.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Кузнецко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-Алтайский.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Якутский.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Дальневосточный.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Среднеазиатский.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Западно-Казахский.</w:t>
      </w:r>
    </w:p>
    <w:p w:rsidR="00CE763B" w:rsidRPr="00721DAC" w:rsidRDefault="00CE763B" w:rsidP="00CE763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Восточно-Казахский и др.</w:t>
      </w:r>
    </w:p>
    <w:p w:rsidR="00CE763B" w:rsidRPr="00721DAC" w:rsidRDefault="00CE763B" w:rsidP="00CE763B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На Х</w:t>
      </w:r>
      <w:r w:rsidRPr="00721DAC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DAC">
        <w:rPr>
          <w:rFonts w:ascii="Times New Roman" w:eastAsia="Calibri" w:hAnsi="Times New Roman" w:cs="Times New Roman"/>
          <w:sz w:val="28"/>
          <w:szCs w:val="28"/>
          <w:lang w:val="kk-KZ"/>
        </w:rPr>
        <w:t>съезде компартии отмечалось, что деление в России на областные районы произведено на научно-обоснованном уровне, при учете хозяйственных условий, климатических, бытовых, условий получения топлива, местной промышленности и т</w:t>
      </w:r>
      <w:r w:rsidRPr="00721DAC">
        <w:rPr>
          <w:rFonts w:ascii="Times New Roman" w:eastAsia="Calibri" w:hAnsi="Times New Roman" w:cs="Times New Roman"/>
          <w:sz w:val="28"/>
          <w:szCs w:val="28"/>
        </w:rPr>
        <w:t>.д.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Большее внимание в плане ГОЭЛРО было уделено комбинациям отраслей хозяйства, развитию крупных экономических районов на базе их электрификации. Центрами таких районов должны были стать крупные районные электростанции и их системы. Само это понятие – «районная электростанция» - зародилось в 1920 году в Советской России. Оно относилось к таким крупным электростанциям, которые снабжали энергией не один пункт или город, а значительный район и не одну какую-либо отрасль, а всю районную комбинацию отраслей производства. 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Таким образом крупные районные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электостанции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становились могучим рычагом развития производительных сил экономических районов. Но для этого необходимо было провести работы по экономическому районированию. Они были осуществлены Госпланом. Самая трудная проблема, осложняющая экономическое районирование – национальная проблема. Госплан ее решить не смог и тогда была создана специальная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комиссияпо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районированию при ВЦИК, ее возглавлял М.И. Калинин. Эта комиссия обладала большими правами и могла сочетать экономические принципы районирования с принципами национальными.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Принципы районирования 20-х годов включали в себя: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Каждый экономический район должен представлять собой крупный территориальный производственный комплекс со специализацией в масштабе всей страны.</w:t>
      </w:r>
    </w:p>
    <w:p w:rsidR="00CE763B" w:rsidRPr="00721DAC" w:rsidRDefault="00CE763B" w:rsidP="00CE763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основу районирования кладется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энергоэкономический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принцип, что означает не только опору районного производственного комплекса на систему с кольцованных мощных районных электростанций, но и достижение наибольшей работоспособности коллектива трудящихся данного района. Энергетика становится стержнем экономической жизни района.</w:t>
      </w:r>
    </w:p>
    <w:p w:rsidR="00CE763B" w:rsidRPr="00721DAC" w:rsidRDefault="00CE763B" w:rsidP="00CE763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Каждый район специализируется в общесоюзном масштабе на тех производствах, которые в нем наиболее выгодны в соответствии с его природными и трудовыми ресурсами, производственными возможностями, географическим положением и транспортными условиями.</w:t>
      </w:r>
    </w:p>
    <w:p w:rsidR="00CE763B" w:rsidRPr="00721DAC" w:rsidRDefault="00CE763B" w:rsidP="00CE763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Между районами должны осуществляться перевозки только тех грузов, на производстве которых эти районы специализируются в масштабе всей страны.</w:t>
      </w:r>
    </w:p>
    <w:p w:rsidR="00CE763B" w:rsidRPr="00721DAC" w:rsidRDefault="00CE763B" w:rsidP="00CE763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-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Районирование должно опережать планирование. В основу районирования должен быть положен экономический принцип.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План ГОЭЛРО — это не только план электрификации, но и первый в мире план организации комплексного развития экономики. Документ является единой, целостной программой возрождения и развития электроэнергетики и конкретных отраслей, прежде всего тяжелой промышленности, строительства, транспорта и сельского хозяйства.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В начале реализации плана ГОЭЛРО активно используется помощь иностранных компаний и специалистов. Передовое оборудование поставляют американские компании «Дженерал Электрик», «Ньюпорт-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Ньюс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»,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Бабкок-Вилкокс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», английская «Метрополитен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Виккерс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», немецкие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Ганомаг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», «Сименс», «Штейн-Мюллер».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Предстояло строить инфраструктуру, нужно было построить не только электростанции для выработки энергии, но и нужно было проложить линии электропередач к объектам промышленности, сами предприятия должны были располагаться недалеко от источников энергии. Из этого впервые следовало экономическое районирование России, где залежи полезных ископаемых были соединены с промышленными объектами, а те с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элекростанциями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 1920 году Россию посещает известный писатель-фантаст Герберт Уэллс. Он знакомится с планами электрификации и считает их невозможными. В очерке «Россия во мгле» он скептически отзывается о плане ГОЭЛРО: «Можно ли представить себе </w:t>
      </w:r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. Но осуществление таких проектов в России можно представить себе только с помощью сверх фантазии. В какое бы волшебное зеркало я ни глядел, я не могу увидеть эту Россию будущего». В итоге, он был крайне удивлён, что план, в который он так категорично не верил, был не только выполнен на 100% в установленные сроки, но и перевыполнен.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К 1926 году - за 5 лет - полностью выполнена первая часть плана ГОЭЛРО - восстановлено разрушенное энергетическое хозяйство страны. </w:t>
      </w:r>
      <w:r w:rsidRPr="00721D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 1931 году - минимальному десятилетнему сроку плана - перевыполнены все показатели по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энергостроительству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. Вместо запланированных 1,75 млн кВт новых мощностей введено в эксплуатацию 2,56 млн кВт.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К 1935 году — сроку окончания плана ГОЭЛРО - советская энергетика выходит на третье место в мире - после США и Германии.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Ниже представлен результат в цифрах плана ГОЭЛРО.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4DCF12" wp14:editId="7F0DDE65">
            <wp:extent cx="5486400" cy="2686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63B" w:rsidRPr="00721DAC" w:rsidRDefault="00CE763B" w:rsidP="00CE763B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           Рисунок 1.1 - Рост ежегодного производства электроэнергии (млн кВт/ч)</w:t>
      </w:r>
    </w:p>
    <w:p w:rsidR="00CE763B" w:rsidRPr="00721DAC" w:rsidRDefault="00CE763B" w:rsidP="00CE763B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Реализация плана ГОЭЛРО становится первым в мире успешным опытом стратегического, программно-целевого планирования и организации развития макроэкономического масштаба, а также первым в мире опытом системного внедрения балансового метода организации экономики.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Система государственного планирования и опережающего развития экономики усваивает следующие важные принципы организации экономики.  </w:t>
      </w:r>
    </w:p>
    <w:p w:rsidR="00CE763B" w:rsidRPr="00721DAC" w:rsidRDefault="00CE763B" w:rsidP="00CE763B">
      <w:pPr>
        <w:tabs>
          <w:tab w:val="left" w:pos="709"/>
        </w:tabs>
        <w:spacing w:after="0" w:line="240" w:lineRule="auto"/>
        <w:ind w:left="-142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      1. Опережающее создание энергетической инфраструктуры является необходимым условием создания в различных отраслях экономики новых производств, которые затем будут потреблять электроэнергию, использовать созданную инфраструктуру. Сначала предложение — затем спрос. </w:t>
      </w:r>
    </w:p>
    <w:p w:rsidR="00CE763B" w:rsidRPr="00721DAC" w:rsidRDefault="00CE763B" w:rsidP="00CE763B">
      <w:pPr>
        <w:tabs>
          <w:tab w:val="left" w:pos="709"/>
        </w:tabs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2. Сбалансированность и организация использования ресурсов: балансовой оценки достаточности и увязки между собой ресурсов, необходимых для реализации комплексного плана. </w:t>
      </w:r>
    </w:p>
    <w:p w:rsidR="00CE763B" w:rsidRPr="00721DAC" w:rsidRDefault="00CE763B" w:rsidP="00CE763B">
      <w:pPr>
        <w:tabs>
          <w:tab w:val="left" w:pos="709"/>
        </w:tabs>
        <w:spacing w:after="0" w:line="240" w:lineRule="auto"/>
        <w:ind w:left="-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3. Экономическое районирование, территориальная концентрация и комбинированное развитие производств. Позднее подобные комбинаты получат название территориально-отраслевых комплексов. Сегодняшним аналогом такой организации экономики являются кластеры.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4. Стоить отметить влияние плана ГОЭЛРО на программу снижения безграмотности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ЛикБез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», которая проводились одновременно, а также устранение безработицы [4].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 момента включения республики в программу ГОЭЛРО, энергетика Казахстана получила мощное развитие, стала ее ключевой отраслью. Планом предусматривалось восстановление народного хозяйства, в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т.ч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. энергетики, после Гражданской войны, в частности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Тургусунской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ГЭС на 1,5 мВт, а также строительство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Убинской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150 мВт,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Курчумской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90 мВт,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Бухтарминской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ГЭС мощностью 150 мВт. Надо отметить, что не все они были построены, но мощность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Бухтарминской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ГЭС на сегодня составляет 675 мВт,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Усть-Каменогорской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320 мВт,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Шульбинской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702 мВт.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От этих ГЭС наметилось строительство линий электропередач к промышленным узлам Лениногорска (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Риддера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), Зыряновска (Алтая) 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Усть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Каменогорска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Кроме Восточного Казахстана планом ГОЭЛРО была заложена электрификация южных регионов Казахстана, включая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Туркистан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, Шымкент и другие регионы.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1930 году в Казахстане уже было 92 электростанции, в том числе 17 сельских, которые вырабатывали в год по 35 </w:t>
      </w:r>
      <w:proofErr w:type="spellStart"/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млн.кВт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>×час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. Для нашего времени это незначительные величины, но для того времени они многое значили.  Для сравнения, за 10 месяцев с начала 2021 года в Казахстане было выработано 87 млрд. 187 млн.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кВт×час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электроэнергии [5].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Можно с гордостью сказать, что энергетика Казахстана прошла путь от плана ГОЭЛРО до </w:t>
      </w:r>
      <w:r w:rsidRPr="00721DAC">
        <w:rPr>
          <w:rFonts w:ascii="Times New Roman" w:eastAsia="Calibri" w:hAnsi="Times New Roman" w:cs="Times New Roman"/>
          <w:sz w:val="28"/>
          <w:szCs w:val="28"/>
          <w:lang w:val="en-US"/>
        </w:rPr>
        <w:t>EXPO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-2017. За это время в хронологическом </w:t>
      </w:r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порядке  были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созданы следующие государственные организации:</w:t>
      </w:r>
    </w:p>
    <w:p w:rsidR="00CE763B" w:rsidRPr="00721DAC" w:rsidRDefault="00CE763B" w:rsidP="00CE763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1930 г. –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Сельэнергострой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 -  госучреждение по электрификации сельской местности;</w:t>
      </w:r>
    </w:p>
    <w:p w:rsidR="00CE763B" w:rsidRPr="00721DAC" w:rsidRDefault="00CE763B" w:rsidP="00CE763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1931 г. -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Казэнерго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 - структура по организации плана электрификации Казахстана;</w:t>
      </w:r>
    </w:p>
    <w:p w:rsidR="00CE763B" w:rsidRPr="00721DAC" w:rsidRDefault="00CE763B" w:rsidP="00CE763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1931 г. –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Гидроэнергострой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 - изыскательное бюро, первое в Казахстане;</w:t>
      </w:r>
    </w:p>
    <w:p w:rsidR="00CE763B" w:rsidRPr="00721DAC" w:rsidRDefault="00CE763B" w:rsidP="00CE763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1937 г. – институт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Казсельэнергопроект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 - проектное подразделение по сельской электрификации в структуре «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Сельэнергострой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CE763B" w:rsidRPr="00721DAC" w:rsidRDefault="00CE763B" w:rsidP="00CE763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1962 г. – Союзно-республиканское Министерство энергетики и электрификации Казахской ССР;</w:t>
      </w:r>
    </w:p>
    <w:p w:rsidR="00CE763B" w:rsidRPr="00721DAC" w:rsidRDefault="00CE763B" w:rsidP="00CE763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1996 г. – произошла реорганизация, в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т.ч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. приватизация, энергетической отрасли РК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763B" w:rsidRPr="00721DAC" w:rsidRDefault="00CE763B" w:rsidP="00CE763B">
      <w:p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Глубокий след в истории развития энергетики Казахстана оставили такие руководители, как: </w:t>
      </w:r>
    </w:p>
    <w:p w:rsidR="00CE763B" w:rsidRPr="00721DAC" w:rsidRDefault="00CE763B" w:rsidP="00CE763B">
      <w:p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Первый директор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КазНИИ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энергетики, президент академии наук Казахской ССР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Шафик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Чакон. </w:t>
      </w:r>
    </w:p>
    <w:p w:rsidR="00CE763B" w:rsidRPr="00721DAC" w:rsidRDefault="00CE763B" w:rsidP="00CE763B">
      <w:p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Первый министр энергетики и электрификации Тимофей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Батуров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, который возглавлял министерство с 1962 -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по 1980 – й годы. Он был отличным организатором и архитектором одной из крупнейших энергосистем Союза. При нем в Казахстане было построено 24 новых электростанции, в том числе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Усть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Каменогорская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Согринская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ТЭЦ (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тѐплоэлѐктроцентра́ль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Экибастузская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Карагандинская ГРЭС (районная электростанция </w:t>
      </w:r>
      <w:r w:rsidRPr="00721D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государственного образца, первоначально ГРЭС – государственная районная электростанция утратила свой смысл),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Бухтарминская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Копчагайская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ГЭС (гидроэлектростанция). При нем начали строительство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Шульбинской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ГЭС и список объектов энергетики можно дальше продолжить. Общая протяженность электросетей за эти годы увеличилась более чем в 15 раз, превысив 320 тысяч километров.  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Доброе имя оставили о себе энергетики, пришедшие на смену Т. Батурову: Борис Иванов, Виктор Казачков, Булат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Нуржанов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другие.</w:t>
      </w:r>
    </w:p>
    <w:p w:rsidR="00CE763B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1957 году директором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Усть-</w:t>
      </w:r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Каменогорской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ГЭС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был назначен Георгий Максимилианович Маленков, который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сразу 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после смерти Сталина был главой государства (СССР). В 1958 году его назначили директором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Экибастузской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ТЭЦ, где он проработал до 1968 года, уйдя потом на заслуженный отдых. В 1981 году эта ТЭЦ вошла в состав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Экибастузской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ГРЭС – 1, на стене управления которой сегодня находится мемориальная доска, посвященная государственному деятелю Г.М. Маленкову.</w:t>
      </w:r>
    </w:p>
    <w:p w:rsidR="00CE763B" w:rsidRPr="00DA7F3F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DA7F3F">
        <w:rPr>
          <w:rFonts w:ascii="Times New Roman" w:eastAsia="Calibri" w:hAnsi="Times New Roman" w:cs="Times New Roman"/>
          <w:sz w:val="28"/>
          <w:szCs w:val="28"/>
        </w:rPr>
        <w:t>восьмидесятые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годы прошлого столетия в СССР была разработана Энергетическая программа. </w:t>
      </w:r>
      <w:r w:rsidRPr="00DA7F3F">
        <w:rPr>
          <w:rFonts w:ascii="Times New Roman" w:eastAsia="Calibri" w:hAnsi="Times New Roman" w:cs="Times New Roman"/>
          <w:sz w:val="28"/>
          <w:szCs w:val="28"/>
        </w:rPr>
        <w:t>В качестве задачи первостепенной экономической и политической важности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эти</w:t>
      </w:r>
      <w:r w:rsidRPr="00DA7F3F">
        <w:rPr>
          <w:rFonts w:ascii="Times New Roman" w:eastAsia="Calibri" w:hAnsi="Times New Roman" w:cs="Times New Roman"/>
          <w:sz w:val="28"/>
          <w:szCs w:val="28"/>
        </w:rPr>
        <w:t xml:space="preserve"> годы намечено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было</w:t>
      </w:r>
      <w:r w:rsidRPr="00DA7F3F">
        <w:rPr>
          <w:rFonts w:ascii="Times New Roman" w:eastAsia="Calibri" w:hAnsi="Times New Roman" w:cs="Times New Roman"/>
          <w:sz w:val="28"/>
          <w:szCs w:val="28"/>
        </w:rPr>
        <w:t xml:space="preserve"> быстрое увеличение добычи газа и нефти в Западной Сибири и обеспечение их транспортировки в европейскую часть страны.</w:t>
      </w:r>
    </w:p>
    <w:p w:rsidR="00CE763B" w:rsidRPr="00DA7F3F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F3F">
        <w:rPr>
          <w:rFonts w:ascii="Times New Roman" w:eastAsia="Calibri" w:hAnsi="Times New Roman" w:cs="Times New Roman"/>
          <w:sz w:val="28"/>
          <w:szCs w:val="28"/>
        </w:rPr>
        <w:t>Энергетическая программа СССР исходит из предварительных расчетов развития экономики Советского Союза до 2000 года и определяет научно обоснованные принципы, главные направления и важнейшие мероприятия по расширению энергетической базы и дальнейшему качественному совершенствованию топливно-энергетического комплекса страны. При этом перед очередным пятилетием программа должна уточняться с тем, чтобы она определяла с учетом роста экономики страны уровни и направления развития отраслей топливно-энергетического комплекса на последующие 20 лет.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Энергетической программы СССР предусматривают: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активной энергосберегающей политики на базе ускоренного научно-технического прогресса во всех звеньях народного хозяйства и в быту, всемерную экономию топлива и энергии, обеспечение на этой основе значительного снижения удельной энергоемкости национального дохода;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 технического прогресса в отраслях топливно-энергетического комплекса, а также в машиностроительных и других смежных отраслях промышленности, поставляющих этому комплексу оборудование, машины и материалы;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опережающих темпов роста производства электроэнергии по сравнению с темпами роста добычи и производства первичных энергетических ресурсов;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ускоренное развитие газовой промышленности для удовлетворения внутренних потребностей страны и нужд экспорта;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стабильно высокого уровня добычи нефти, в том числе за счет повышения </w:t>
      </w:r>
      <w:proofErr w:type="spellStart"/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нефтеотдачи</w:t>
      </w:r>
      <w:proofErr w:type="spellEnd"/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пластов;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заблаговременную подготовку промышленных запасов топлива, и особенно нефти, резкое увеличение объема и повышение эффективности глубокого разведочного бурения на нефть, в первую очередь в наиболее перспективных районах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CE763B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Энергетической программы СССР рассчитано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в 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этапа. </w:t>
      </w:r>
    </w:p>
    <w:p w:rsidR="00CE763B" w:rsidRPr="00DA7F3F" w:rsidRDefault="00CE763B" w:rsidP="00CE76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должен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рубеже восьмидесятых и девяностых годов. На этом этапе задачи надежного энергообеспечения народного хозяйства СССР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были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решаться сохранением высоких уровней добычи нефти, быстрым увеличением объемов добычи и транспортировки сибирского газа в европейскую часть страны, ускоренным развитием ядерной энергетики. В этот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создать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необходимые предпосылки для интенсивного наращивания в последующие годы добычи угля, а также подготовлены условия для широкого перевода экономики на энергосберегающий путь развития.</w:t>
      </w:r>
    </w:p>
    <w:p w:rsidR="00CE763B" w:rsidRDefault="00CE763B" w:rsidP="00CE763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втором этапе,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должен 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ться 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рубеже XX и XXI веков, энергетическая эффективность общественного производства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повышаться нарастающими темпами на основе интенсивного энергосбережения, ускорения научно-технического прогресса. В середине этого этапа добыча газа достигнет максимального уровня, заданного программой,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была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стабилизирована, а дальнейший прирост энергетических ресурсов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Pr="00DA7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обеспечиваться главным образом за счет производства ядерной энергии, добычи угля открытым способом, а также использования возобновляемых источников энергии.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этом этапе намечалось газификация и Восточного Казахстана </w:t>
      </w:r>
      <w:r w:rsidRPr="00721DAC">
        <w:rPr>
          <w:rFonts w:ascii="Times New Roman" w:eastAsia="Calibri" w:hAnsi="Times New Roman" w:cs="Times New Roman"/>
          <w:sz w:val="28"/>
          <w:szCs w:val="28"/>
        </w:rPr>
        <w:t>[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721DAC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CE763B" w:rsidRPr="00721DAC" w:rsidRDefault="00CE763B" w:rsidP="00CE763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До 1997 года в ВКО эффективно функционировало производственное объединение ПО «Алтайэнерго», которое включало в себя все теплоэлектроцентрали (ТЭЦ) городов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Усть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Каменогорска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, Лениногорска, Семипалатинска, три каскада ГЭС (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Бухтарминская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Усть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Каменогорская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Шульбинская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), а также ряд котельных и линий электропередач. Как уже отмечалось выше, потом была проведена реорганизация ПО. Последним директором этого объединения был Алексей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Тютяев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763B" w:rsidRPr="00721DAC" w:rsidRDefault="00CE763B" w:rsidP="00CE763B">
      <w:pPr>
        <w:tabs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2017 году в Казахстане в Астане прошла Международная специализированная выставка </w:t>
      </w:r>
      <w:r w:rsidRPr="00721DAC">
        <w:rPr>
          <w:rFonts w:ascii="Times New Roman" w:eastAsia="Calibri" w:hAnsi="Times New Roman" w:cs="Times New Roman"/>
          <w:sz w:val="28"/>
          <w:szCs w:val="28"/>
          <w:lang w:val="en-US"/>
        </w:rPr>
        <w:t>EXPO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- 2017, посвященная теме «Энергия будущего». В ней приняли участие более 150 стран, международных организаций и ТНК (</w:t>
      </w:r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транс-национальных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компаний), которые представили свои новейшие разработки в области «Зеленой экономики».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Следует остановиться также на проблемах энергетики Казахстана на текущий момент и перспективах ее развития в будущем. 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С 1 января 2019 Минэнерго РК запустило проект «рынок электрических мощностей» для повышения надежности энергосистемы, но получилось все наоборот: выявилась нехватка отечественной электроэнергии, поэтому министерство вынуждено было восполнять ее нехватку зарубежной, в основном из России – 977 </w:t>
      </w:r>
      <w:proofErr w:type="spellStart"/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млн.кВт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>×час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адрес Министерства энергетики сегодня посылается множество вопросов таких как: почему растут тарифы, почему высокая текучесть кадров, почему не строятся или не модернизируются энергетические мощности, куда идут деньги населения при оплате за энергию (как за тепло, так и </w:t>
      </w:r>
      <w:proofErr w:type="spellStart"/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эл.энергию</w:t>
      </w:r>
      <w:proofErr w:type="spellEnd"/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). На деле количество аварийных отключений на электростанциях растет, только за 2021 год их было по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котлоагрегатам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136, а по турбинам 83. 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Очень много наблюдается сомнений в профессиональности и честной позиции самого Минэнерго. Так, на пример, повышение тарифов объясняют рост затрат на уголь, на транспортировку и связанные с этим технологические услуги. Но при этом замалчивают, как задействованы рычаги снижения этих тарифов, как внедряются технологии энергосбережения и рационального использования энергоресурсов, а также их нормирования и планирования.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советское время по всем этим позициям каждому республиканскому министерству энергетики доводились </w:t>
      </w:r>
      <w:proofErr w:type="gramStart"/>
      <w:r w:rsidRPr="00721DAC">
        <w:rPr>
          <w:rFonts w:ascii="Times New Roman" w:eastAsia="Calibri" w:hAnsi="Times New Roman" w:cs="Times New Roman"/>
          <w:sz w:val="28"/>
          <w:szCs w:val="28"/>
        </w:rPr>
        <w:t>плановые задания</w:t>
      </w:r>
      <w:proofErr w:type="gram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и они над ними работали.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Повышение тарифов объясняют тем, что электростанции построены в советский период и их износ больше 50%, а ремонт и модернизацию нужно еще больше средств. Минэнерго сообщает, что ввод рынка электрической мощности позволит обеспечить инвестиционную привлекательность отрасли и ее долгосрочную надежность. Это вызывает глубокое сомнение, что «невидимая рука рынка», без централизованного регулирования решит данную проблему. Да на рынке должна быть конкуренция, которая ведет к улучшению качества услуг и снижению цен (тарифов).</w:t>
      </w:r>
    </w:p>
    <w:p w:rsidR="00CE763B" w:rsidRPr="00721DAC" w:rsidRDefault="00CE763B" w:rsidP="00CE763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Однако наш оптовый рынок электроэнергии не успев родиться, сразу же оказался поделен на между десятками владельцев электростанций, электросетей и аффилированных с ними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энергоснабжающими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организациями. Как показала практика иностранные инвесторы, приходя на наш энергетический рынок и уходя из-за высокой коррупции. Они говорят: «Почему мы должны в ваши высокие кабинеты деньги заносить?» [6, 7]. 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При этом прозрачности на этом рынке не предполагалось. Все совершаемые сделки по купле – продажи электроэнергии и определению по ним тарифов оказались коммерческой тайной. Получается принцип «деньги любят тишину» у нас работает наоборот, люди, которые их распределяют из одного места в другое, делают это в тишине, в ущерб общему делу.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Ситуация на разрозненном оптовом рынке электроэнергии привела к тому, что тарифы на нее стали для населения страны разительно отличаться по регионам. В два-три, а то и больше раз. Например, в Атырау, где средняя зарплата самая высокая по Казахстану,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килловат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-час стоит 6 тенге, а в Кустанае, где средняя зарплата самая низкая,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килловат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-час доходит до 27 тенге. 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В целом зарплаты энергетиков не совсем высокие и разняться по регионам. Но при этом казахстанский список </w:t>
      </w:r>
      <w:r w:rsidRPr="00721DAC">
        <w:rPr>
          <w:rFonts w:ascii="Times New Roman" w:eastAsia="Calibri" w:hAnsi="Times New Roman" w:cs="Times New Roman"/>
          <w:sz w:val="28"/>
          <w:szCs w:val="28"/>
          <w:lang w:val="en-US"/>
        </w:rPr>
        <w:t>Forbes</w:t>
      </w: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пестрит десятками владельцев отечественных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</w:rPr>
        <w:t>килловат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</w:rPr>
        <w:t>-часов.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Как сообщает Минэнерго в нашей Единой энергосистеме намечается дефицит базовой электрической мощности на 2023 год на уровне 63 МВт; в </w:t>
      </w:r>
      <w:r w:rsidRPr="00721DAC">
        <w:rPr>
          <w:rFonts w:ascii="Times New Roman" w:eastAsia="Calibri" w:hAnsi="Times New Roman" w:cs="Times New Roman"/>
          <w:sz w:val="28"/>
          <w:szCs w:val="28"/>
        </w:rPr>
        <w:lastRenderedPageBreak/>
        <w:t>2024-м уже 129 МВт; а в 2027 году – 1463 МВт. Это сопоставимо с потреблением электроэнергии трех областей.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Как уже отмечалось, за всю историю энергетики Казахстана сменилось, начиная с Т. Батурова 44 министра. При этом за годы независимости во главе Минэнерго стояли 4 профессионала. Были и такие которые не были знакомы с законом Ома, или в биографии одного значилось «имел отношение к вопросам энергетики». А один вице-министр этого же министерства назвал ГРЭС гидроэлектростанцией.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>Таким образом можно сделать вывод, что все в отрасли зависит от того, кто ее возглавляет. Да и если спуститься на уровень ниже, ситуация аналогичная. На большинстве энергетических компаний Казахстана директора не имеют ни профессиональной подготовки, ни полномочий, ни возможностей содержать предприятия в нужном состоянии. Вместо реконструкции, они выжимают последнее из оставшегося им практически за даром еще советских мощностей и инфраструктуры, из рабочих и инженеров, зарплата которых ниже средней по стране.</w:t>
      </w:r>
    </w:p>
    <w:p w:rsidR="00CE763B" w:rsidRPr="00721DAC" w:rsidRDefault="00CE763B" w:rsidP="00CE763B">
      <w:pPr>
        <w:spacing w:after="0" w:line="240" w:lineRule="auto"/>
        <w:ind w:left="-142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Calibri" w:hAnsi="Times New Roman" w:cs="Times New Roman"/>
          <w:sz w:val="28"/>
          <w:szCs w:val="28"/>
        </w:rPr>
        <w:t xml:space="preserve"> Перспективы развития энергетики Казахстана заложены в развитии «зеленой экономики», куда в последнее время стали относить строительство ГЭС и АЭС.</w:t>
      </w:r>
    </w:p>
    <w:p w:rsidR="00CE763B" w:rsidRPr="00721DAC" w:rsidRDefault="00CE763B" w:rsidP="00CE763B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21DAC"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         О необходимости строитель</w:t>
      </w:r>
      <w:r w:rsidRPr="00721DAC"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ства атомной электростан</w:t>
      </w:r>
      <w:r w:rsidRPr="00721DAC"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ции в Казахстане необхо</w:t>
      </w:r>
      <w:r w:rsidRPr="00721DAC"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димо говорить так, чтобы наши люди понимали суть проблемы и избавлялись от страхов по поводу опаснос</w:t>
      </w:r>
      <w:r w:rsidRPr="00721DAC"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ти объектов ядерной энер</w:t>
      </w:r>
      <w:r>
        <w:rPr>
          <w:rFonts w:ascii="Times New Roman" w:eastAsia="Tahoma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гетики.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Актуальность строительства такой электростанции сейчас как никогда высока по многим причинам. У нас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энергодефи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цит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— как из-за роста потребле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ния, так и из-за повторяющихся засухи и аварий на энергетических объ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ектах. Мы будем закупать бли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жайшие несколько лет 1000 - 2000 МВт электроэнергии в России, и это только предвари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тельные расчёты. Кроме того, у нас есть плановый дефицит, на юге страны к 2030 году возрас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тёт до 2000-2700 МВт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Pr="00721DAC">
        <w:rPr>
          <w:rFonts w:ascii="Times New Roman" w:eastAsia="Calibri" w:hAnsi="Times New Roman" w:cs="Times New Roman"/>
          <w:sz w:val="28"/>
          <w:szCs w:val="28"/>
        </w:rPr>
        <w:t>[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721DAC">
        <w:rPr>
          <w:rFonts w:ascii="Times New Roman" w:eastAsia="Calibri" w:hAnsi="Times New Roman" w:cs="Times New Roman"/>
          <w:sz w:val="28"/>
          <w:szCs w:val="28"/>
        </w:rPr>
        <w:t>].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Как уже отмечалось, в Казахстане большой износ энергетического оборудования, и в связи с этим аварии здесь будут всё чаще. Из новых электростан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 xml:space="preserve">ций построены только </w:t>
      </w:r>
      <w:proofErr w:type="spell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Мойнакская</w:t>
      </w:r>
      <w:proofErr w:type="spellEnd"/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ГЭС и несколько газовых электростанций. Но все они поставляют электроэнергию по высоким тарифам.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 w:bidi="ru-RU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Угольные электростанции мы будем теперь строить с боль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шими трудностями, на них не дадут кредиты после климати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ческого саммита в Глазго и спе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циального соглашения по огра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ничению использования угля. А газ всё больше дорожает, и бо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лее того, его объёмы сокраща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t>ются, в то время как Узбекистан отказывается от экспорта. Для нас остаётся только туркменс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кий газ, но там все выкуплено китайцами.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 w:bidi="ru-RU"/>
        </w:rPr>
      </w:pP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t>Электроэнергия из возоб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новляемых источников очень дорогая - тарифы на поддер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жку её производства в декабре прошлого года были на севе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 xml:space="preserve">ре 65 тенге, а на юге 35 тенге за </w:t>
      </w:r>
      <w:proofErr w:type="spellStart"/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t>кВт×час</w:t>
      </w:r>
      <w:proofErr w:type="spellEnd"/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t xml:space="preserve">. Для сравнения, угольная электростанция даёт предельный тариф 5,9 тенге за </w:t>
      </w:r>
      <w:proofErr w:type="spellStart"/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t>кВт×час</w:t>
      </w:r>
      <w:proofErr w:type="spellEnd"/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t>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 w:bidi="ru-RU"/>
        </w:rPr>
      </w:pP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lastRenderedPageBreak/>
        <w:t>Кроме того, у нас есть обя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зательства по снижению вы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бросов парниковых газов, и на нашу продукцию будет дейс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твовать углеродный налог Ев</w:t>
      </w:r>
      <w:r w:rsidRPr="00721DAC">
        <w:rPr>
          <w:rFonts w:ascii="Times New Roman" w:eastAsia="Sylfaen" w:hAnsi="Times New Roman" w:cs="Times New Roman"/>
          <w:sz w:val="28"/>
          <w:szCs w:val="28"/>
          <w:lang w:eastAsia="ru-RU" w:bidi="ru-RU"/>
        </w:rPr>
        <w:softHyphen/>
        <w:t>ропейского союза.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DAC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>А вот в строительстве АЭС у нас есть уникальные преиму</w:t>
      </w:r>
      <w:r w:rsidRPr="00721DAC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softHyphen/>
        <w:t>щества перед многими стра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нами, у которых нет </w:t>
      </w:r>
      <w:proofErr w:type="gramStart"/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таковых</w:t>
      </w:r>
      <w:proofErr w:type="gramEnd"/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и они собираются их строить. Это четыре действующих и один остановленный научно-исследовательских реактора, один выводимый из эксплуа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тации энергетический реактор. На всех работают наши люди, проводятся исследования, и в целом есть основы для подго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товки персонала. Ни на одном объекте не было аварий, хотя срок эксплуатации их доходит до 60 лет.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У Казахстана 42% всей миро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вой добычи урана. Практичес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ки столько же уран составляет в энергетических запасах полез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ных ископаемых. Есть завод по производству топливных табле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ток и сборок, что вместе с до</w:t>
      </w:r>
      <w:r w:rsidRPr="00721D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softHyphen/>
        <w:t>бычей существенно сокращает стоимость топлива. У нас есть доля в технологической цепочке по обога</w:t>
      </w:r>
      <w:r w:rsidRPr="00721D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щению урана - в российском сегменте. Это опять же удешевляет топливо.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721D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Мы уже три раза пытались построить АЭС: в двух случаях (1999 и 2006 годы) дошло до стадии ТЭО, в третьем в 2014 году, - до сбора предложений от поставщиков.</w:t>
      </w:r>
    </w:p>
    <w:p w:rsidR="00CE763B" w:rsidRDefault="00CE763B" w:rsidP="00CE76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21D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Если же сейчас не примем решения и не начнём строить, то получим </w:t>
      </w:r>
      <w:proofErr w:type="spellStart"/>
      <w:r w:rsidRPr="00721D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энергодефицит</w:t>
      </w:r>
      <w:proofErr w:type="spellEnd"/>
      <w:r w:rsidRPr="00721D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веерные отключения, а вследствие этого отсутствие инвестиций, перенос производств: безработицу и прочие трудности, которые постоянно испытывают Кыргызстан и Таджикистан. Чтобы всё это избежать, надо строить АЭС.</w:t>
      </w:r>
    </w:p>
    <w:p w:rsidR="00CE763B" w:rsidRPr="00721DAC" w:rsidRDefault="00CE763B" w:rsidP="00CE76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CE763B" w:rsidRPr="00B83426" w:rsidRDefault="00CE763B" w:rsidP="00CE763B">
      <w:pPr>
        <w:pStyle w:val="a5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83426">
        <w:rPr>
          <w:rFonts w:ascii="Times New Roman" w:hAnsi="Times New Roman" w:cs="Times New Roman"/>
          <w:sz w:val="28"/>
          <w:szCs w:val="28"/>
        </w:rPr>
        <w:t>Лухтанов</w:t>
      </w:r>
      <w:proofErr w:type="spellEnd"/>
      <w:r w:rsidRPr="00B83426">
        <w:rPr>
          <w:rFonts w:ascii="Times New Roman" w:hAnsi="Times New Roman" w:cs="Times New Roman"/>
          <w:sz w:val="28"/>
          <w:szCs w:val="28"/>
        </w:rPr>
        <w:t xml:space="preserve"> А. Что имеем – не храним // АИФ.РК № 43 – 2018 г.</w:t>
      </w:r>
    </w:p>
    <w:p w:rsidR="00CE763B" w:rsidRPr="00B83426" w:rsidRDefault="00CE763B" w:rsidP="00CE763B">
      <w:pPr>
        <w:pStyle w:val="a5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83426">
        <w:rPr>
          <w:rFonts w:ascii="Times New Roman" w:hAnsi="Times New Roman" w:cs="Times New Roman"/>
          <w:sz w:val="28"/>
          <w:szCs w:val="28"/>
        </w:rPr>
        <w:t>Колинко Н.  Премьера века // АИФ.РК № 51 – 2020 г.</w:t>
      </w:r>
    </w:p>
    <w:p w:rsidR="00CE763B" w:rsidRPr="00B83426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426">
        <w:rPr>
          <w:rFonts w:ascii="Times New Roman" w:hAnsi="Times New Roman" w:cs="Times New Roman"/>
          <w:sz w:val="28"/>
          <w:szCs w:val="28"/>
        </w:rPr>
        <w:t>Губанова Т.Е. Экономическая и социальная география в СССР. М.: Просвещение, 1987. – 542с.</w:t>
      </w:r>
    </w:p>
    <w:p w:rsidR="00CE763B" w:rsidRPr="00B83426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426">
        <w:rPr>
          <w:rFonts w:ascii="Times New Roman" w:hAnsi="Times New Roman" w:cs="Times New Roman"/>
          <w:sz w:val="28"/>
          <w:szCs w:val="28"/>
        </w:rPr>
        <w:t xml:space="preserve">Галушка А.С., </w:t>
      </w:r>
      <w:proofErr w:type="spellStart"/>
      <w:r w:rsidRPr="00B83426">
        <w:rPr>
          <w:rFonts w:ascii="Times New Roman" w:hAnsi="Times New Roman" w:cs="Times New Roman"/>
          <w:sz w:val="28"/>
          <w:szCs w:val="28"/>
        </w:rPr>
        <w:t>Ниязметов</w:t>
      </w:r>
      <w:proofErr w:type="spellEnd"/>
      <w:r w:rsidRPr="00B83426">
        <w:rPr>
          <w:rFonts w:ascii="Times New Roman" w:hAnsi="Times New Roman" w:cs="Times New Roman"/>
          <w:sz w:val="28"/>
          <w:szCs w:val="28"/>
        </w:rPr>
        <w:t xml:space="preserve"> А.К., Окулов М.О. Кристалл роста к русскому экономическому чуду. – М., 2021. – 360с.</w:t>
      </w:r>
    </w:p>
    <w:p w:rsidR="00CE763B" w:rsidRPr="00B83426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426">
        <w:rPr>
          <w:rFonts w:ascii="Times New Roman" w:hAnsi="Times New Roman" w:cs="Times New Roman"/>
          <w:sz w:val="28"/>
          <w:szCs w:val="28"/>
        </w:rPr>
        <w:t>Колинко Н.   Светить всегда! // АИФ.РК № 52 – 2020 г.</w:t>
      </w:r>
    </w:p>
    <w:p w:rsidR="00CE763B" w:rsidRPr="00B83426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83426">
        <w:rPr>
          <w:rFonts w:ascii="Times New Roman" w:hAnsi="Times New Roman" w:cs="Times New Roman"/>
          <w:sz w:val="28"/>
          <w:szCs w:val="28"/>
        </w:rPr>
        <w:t>Чиртков</w:t>
      </w:r>
      <w:proofErr w:type="spellEnd"/>
      <w:r w:rsidRPr="00B83426">
        <w:rPr>
          <w:rFonts w:ascii="Times New Roman" w:hAnsi="Times New Roman" w:cs="Times New Roman"/>
          <w:sz w:val="28"/>
          <w:szCs w:val="28"/>
        </w:rPr>
        <w:t xml:space="preserve"> М. Удар током // АИФ.РК № 33 – 2021г.</w:t>
      </w:r>
    </w:p>
    <w:p w:rsidR="00CE763B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83426">
        <w:rPr>
          <w:rFonts w:ascii="Times New Roman" w:hAnsi="Times New Roman" w:cs="Times New Roman"/>
          <w:sz w:val="28"/>
          <w:szCs w:val="28"/>
        </w:rPr>
        <w:t>Чиртков</w:t>
      </w:r>
      <w:proofErr w:type="spellEnd"/>
      <w:r w:rsidRPr="00B83426">
        <w:rPr>
          <w:rFonts w:ascii="Times New Roman" w:hAnsi="Times New Roman" w:cs="Times New Roman"/>
          <w:sz w:val="28"/>
          <w:szCs w:val="28"/>
        </w:rPr>
        <w:t xml:space="preserve"> М. Предвестник тьмы // АИФ.РК № 13 – 2022г.</w:t>
      </w:r>
    </w:p>
    <w:p w:rsidR="00CE763B" w:rsidRPr="00437629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положения Энергетической программы СССР на длительную перспективу – 1982г.</w:t>
      </w:r>
    </w:p>
    <w:p w:rsidR="00CE763B" w:rsidRDefault="00CE763B" w:rsidP="00CE763B">
      <w:pPr>
        <w:pStyle w:val="a5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Шибутов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Нам это нужно? Нам это очень нужно! // АИФ.РК № 9 – 2022г.</w:t>
      </w:r>
    </w:p>
    <w:sectPr w:rsidR="00CE7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8C8"/>
    <w:multiLevelType w:val="multilevel"/>
    <w:tmpl w:val="BE82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50671"/>
    <w:multiLevelType w:val="hybridMultilevel"/>
    <w:tmpl w:val="DE447684"/>
    <w:lvl w:ilvl="0" w:tplc="E13C5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8A354F"/>
    <w:multiLevelType w:val="hybridMultilevel"/>
    <w:tmpl w:val="CFD6E68A"/>
    <w:lvl w:ilvl="0" w:tplc="D4820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A807B7"/>
    <w:multiLevelType w:val="hybridMultilevel"/>
    <w:tmpl w:val="6AF25636"/>
    <w:lvl w:ilvl="0" w:tplc="44189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8C6EA7"/>
    <w:multiLevelType w:val="hybridMultilevel"/>
    <w:tmpl w:val="9AE6EE7E"/>
    <w:lvl w:ilvl="0" w:tplc="EF3EB7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374983"/>
    <w:multiLevelType w:val="hybridMultilevel"/>
    <w:tmpl w:val="DA50ED42"/>
    <w:lvl w:ilvl="0" w:tplc="EF3EB74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1EBB14A1"/>
    <w:multiLevelType w:val="hybridMultilevel"/>
    <w:tmpl w:val="3FBA57A0"/>
    <w:lvl w:ilvl="0" w:tplc="2838410A">
      <w:start w:val="1"/>
      <w:numFmt w:val="decimal"/>
      <w:lvlText w:val="%1)"/>
      <w:lvlJc w:val="left"/>
      <w:pPr>
        <w:ind w:left="1287" w:hanging="360"/>
      </w:pPr>
      <w:rPr>
        <w:b w:val="0"/>
        <w:i w:val="0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1F97C53"/>
    <w:multiLevelType w:val="hybridMultilevel"/>
    <w:tmpl w:val="E29AC7B4"/>
    <w:lvl w:ilvl="0" w:tplc="44189D8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9CB7C2F"/>
    <w:multiLevelType w:val="hybridMultilevel"/>
    <w:tmpl w:val="17102DD8"/>
    <w:lvl w:ilvl="0" w:tplc="12A80384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2DDE4D5C"/>
    <w:multiLevelType w:val="hybridMultilevel"/>
    <w:tmpl w:val="038EB674"/>
    <w:lvl w:ilvl="0" w:tplc="44189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D37F2"/>
    <w:multiLevelType w:val="multilevel"/>
    <w:tmpl w:val="D85857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F685E53"/>
    <w:multiLevelType w:val="hybridMultilevel"/>
    <w:tmpl w:val="A32441E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5291F70"/>
    <w:multiLevelType w:val="multilevel"/>
    <w:tmpl w:val="070A7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36761E3B"/>
    <w:multiLevelType w:val="hybridMultilevel"/>
    <w:tmpl w:val="2B5A8D2C"/>
    <w:lvl w:ilvl="0" w:tplc="F6BC3706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A521EE6"/>
    <w:multiLevelType w:val="multilevel"/>
    <w:tmpl w:val="46D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6356E"/>
    <w:multiLevelType w:val="multilevel"/>
    <w:tmpl w:val="DB8E84DC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95" w:hanging="375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6" w15:restartNumberingAfterBreak="0">
    <w:nsid w:val="3F4B50A4"/>
    <w:multiLevelType w:val="multilevel"/>
    <w:tmpl w:val="E682C80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04A0A3B"/>
    <w:multiLevelType w:val="hybridMultilevel"/>
    <w:tmpl w:val="712C1F7C"/>
    <w:lvl w:ilvl="0" w:tplc="29F03A76">
      <w:start w:val="1"/>
      <w:numFmt w:val="decimal"/>
      <w:lvlText w:val="%1)"/>
      <w:lvlJc w:val="left"/>
      <w:pPr>
        <w:tabs>
          <w:tab w:val="num" w:pos="709"/>
        </w:tabs>
        <w:ind w:left="0" w:firstLine="709"/>
      </w:pPr>
      <w:rPr>
        <w:rFonts w:ascii="Times New Roman" w:eastAsia="Calibri" w:hAnsi="Times New Roman" w:cs="Times New Roman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886E6A"/>
    <w:multiLevelType w:val="hybridMultilevel"/>
    <w:tmpl w:val="5E00A5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F733199"/>
    <w:multiLevelType w:val="hybridMultilevel"/>
    <w:tmpl w:val="C91CF04E"/>
    <w:lvl w:ilvl="0" w:tplc="922E89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92249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C605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F84EB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A454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38C9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A9498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A0EEF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66B5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526344"/>
    <w:multiLevelType w:val="hybridMultilevel"/>
    <w:tmpl w:val="037887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7FA69B3"/>
    <w:multiLevelType w:val="multilevel"/>
    <w:tmpl w:val="7338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B12CBC"/>
    <w:multiLevelType w:val="hybridMultilevel"/>
    <w:tmpl w:val="D48E0C00"/>
    <w:lvl w:ilvl="0" w:tplc="13D88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F1B52AD"/>
    <w:multiLevelType w:val="multilevel"/>
    <w:tmpl w:val="CE10DA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1216D50"/>
    <w:multiLevelType w:val="hybridMultilevel"/>
    <w:tmpl w:val="5AD4FDA2"/>
    <w:lvl w:ilvl="0" w:tplc="519427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52E5D8E"/>
    <w:multiLevelType w:val="multilevel"/>
    <w:tmpl w:val="C45E006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6" w15:restartNumberingAfterBreak="0">
    <w:nsid w:val="657A3369"/>
    <w:multiLevelType w:val="hybridMultilevel"/>
    <w:tmpl w:val="F5E04038"/>
    <w:lvl w:ilvl="0" w:tplc="44189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C179E6"/>
    <w:multiLevelType w:val="multilevel"/>
    <w:tmpl w:val="8E44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1212F4"/>
    <w:multiLevelType w:val="hybridMultilevel"/>
    <w:tmpl w:val="7A1AC998"/>
    <w:lvl w:ilvl="0" w:tplc="987C6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EB7283A"/>
    <w:multiLevelType w:val="multilevel"/>
    <w:tmpl w:val="D0804A44"/>
    <w:lvl w:ilvl="0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30" w15:restartNumberingAfterBreak="0">
    <w:nsid w:val="74C87A3D"/>
    <w:multiLevelType w:val="multilevel"/>
    <w:tmpl w:val="9768E67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D044819"/>
    <w:multiLevelType w:val="hybridMultilevel"/>
    <w:tmpl w:val="27F064C8"/>
    <w:lvl w:ilvl="0" w:tplc="D536035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E8636D8"/>
    <w:multiLevelType w:val="hybridMultilevel"/>
    <w:tmpl w:val="51442856"/>
    <w:lvl w:ilvl="0" w:tplc="F7B439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521B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F459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52AD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58EAA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3408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827F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4FCA9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1CA12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8A19C9"/>
    <w:multiLevelType w:val="multilevel"/>
    <w:tmpl w:val="529822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7"/>
  </w:num>
  <w:num w:numId="3">
    <w:abstractNumId w:val="3"/>
  </w:num>
  <w:num w:numId="4">
    <w:abstractNumId w:val="26"/>
  </w:num>
  <w:num w:numId="5">
    <w:abstractNumId w:val="1"/>
  </w:num>
  <w:num w:numId="6">
    <w:abstractNumId w:val="22"/>
  </w:num>
  <w:num w:numId="7">
    <w:abstractNumId w:val="31"/>
  </w:num>
  <w:num w:numId="8">
    <w:abstractNumId w:val="9"/>
  </w:num>
  <w:num w:numId="9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19"/>
  </w:num>
  <w:num w:numId="13">
    <w:abstractNumId w:val="20"/>
  </w:num>
  <w:num w:numId="14">
    <w:abstractNumId w:val="14"/>
  </w:num>
  <w:num w:numId="15">
    <w:abstractNumId w:val="0"/>
  </w:num>
  <w:num w:numId="16">
    <w:abstractNumId w:val="21"/>
  </w:num>
  <w:num w:numId="17">
    <w:abstractNumId w:val="27"/>
  </w:num>
  <w:num w:numId="18">
    <w:abstractNumId w:val="16"/>
  </w:num>
  <w:num w:numId="19">
    <w:abstractNumId w:val="30"/>
  </w:num>
  <w:num w:numId="20">
    <w:abstractNumId w:val="2"/>
  </w:num>
  <w:num w:numId="21">
    <w:abstractNumId w:val="17"/>
  </w:num>
  <w:num w:numId="22">
    <w:abstractNumId w:val="29"/>
  </w:num>
  <w:num w:numId="23">
    <w:abstractNumId w:val="10"/>
  </w:num>
  <w:num w:numId="24">
    <w:abstractNumId w:val="25"/>
  </w:num>
  <w:num w:numId="25">
    <w:abstractNumId w:val="6"/>
  </w:num>
  <w:num w:numId="26">
    <w:abstractNumId w:val="28"/>
  </w:num>
  <w:num w:numId="27">
    <w:abstractNumId w:val="13"/>
  </w:num>
  <w:num w:numId="28">
    <w:abstractNumId w:val="33"/>
  </w:num>
  <w:num w:numId="29">
    <w:abstractNumId w:val="4"/>
  </w:num>
  <w:num w:numId="30">
    <w:abstractNumId w:val="5"/>
  </w:num>
  <w:num w:numId="31">
    <w:abstractNumId w:val="8"/>
  </w:num>
  <w:num w:numId="32">
    <w:abstractNumId w:val="11"/>
  </w:num>
  <w:num w:numId="33">
    <w:abstractNumId w:val="24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BE"/>
    <w:rsid w:val="00112215"/>
    <w:rsid w:val="002C21A4"/>
    <w:rsid w:val="00421D42"/>
    <w:rsid w:val="00437767"/>
    <w:rsid w:val="00577A6D"/>
    <w:rsid w:val="00721DAC"/>
    <w:rsid w:val="008870AB"/>
    <w:rsid w:val="008F311D"/>
    <w:rsid w:val="00912CDA"/>
    <w:rsid w:val="00AE79B6"/>
    <w:rsid w:val="00CA3687"/>
    <w:rsid w:val="00CD4CBE"/>
    <w:rsid w:val="00CD6B10"/>
    <w:rsid w:val="00CE763B"/>
    <w:rsid w:val="00DA7F3F"/>
    <w:rsid w:val="00DB53A3"/>
    <w:rsid w:val="00E26D49"/>
    <w:rsid w:val="00E7451C"/>
    <w:rsid w:val="00F85D1B"/>
    <w:rsid w:val="00FA20A9"/>
    <w:rsid w:val="00F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6DE0"/>
  <w15:docId w15:val="{60CDA96B-8612-4BAA-AE29-39F639CA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DAC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2C21A4"/>
  </w:style>
  <w:style w:type="numbering" w:customStyle="1" w:styleId="11">
    <w:name w:val="Нет списка11"/>
    <w:next w:val="a2"/>
    <w:uiPriority w:val="99"/>
    <w:semiHidden/>
    <w:unhideWhenUsed/>
    <w:rsid w:val="002C21A4"/>
  </w:style>
  <w:style w:type="paragraph" w:styleId="a5">
    <w:name w:val="List Paragraph"/>
    <w:basedOn w:val="a"/>
    <w:uiPriority w:val="34"/>
    <w:qFormat/>
    <w:rsid w:val="002C21A4"/>
    <w:pPr>
      <w:spacing w:after="0" w:line="360" w:lineRule="auto"/>
      <w:ind w:left="720" w:firstLine="709"/>
      <w:contextualSpacing/>
      <w:jc w:val="both"/>
    </w:pPr>
  </w:style>
  <w:style w:type="paragraph" w:styleId="a6">
    <w:name w:val="footer"/>
    <w:basedOn w:val="a"/>
    <w:link w:val="a7"/>
    <w:uiPriority w:val="99"/>
    <w:unhideWhenUsed/>
    <w:rsid w:val="002C21A4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7">
    <w:name w:val="Нижний колонтитул Знак"/>
    <w:basedOn w:val="a0"/>
    <w:link w:val="a6"/>
    <w:uiPriority w:val="99"/>
    <w:rsid w:val="002C21A4"/>
  </w:style>
  <w:style w:type="character" w:styleId="a8">
    <w:name w:val="page number"/>
    <w:rsid w:val="002C21A4"/>
  </w:style>
  <w:style w:type="table" w:styleId="a9">
    <w:name w:val="Table Grid"/>
    <w:basedOn w:val="a1"/>
    <w:uiPriority w:val="59"/>
    <w:rsid w:val="002C21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2C21A4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9"/>
    <w:uiPriority w:val="59"/>
    <w:rsid w:val="002C21A4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9"/>
    <w:uiPriority w:val="59"/>
    <w:rsid w:val="002C21A4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2C21A4"/>
  </w:style>
  <w:style w:type="table" w:customStyle="1" w:styleId="3">
    <w:name w:val="Сетка таблицы3"/>
    <w:basedOn w:val="a1"/>
    <w:next w:val="a9"/>
    <w:uiPriority w:val="59"/>
    <w:rsid w:val="002C21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59"/>
    <w:rsid w:val="002C21A4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9"/>
    <w:uiPriority w:val="59"/>
    <w:rsid w:val="002C21A4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2C21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21A4"/>
  </w:style>
  <w:style w:type="paragraph" w:customStyle="1" w:styleId="13">
    <w:name w:val="Обычный1"/>
    <w:rsid w:val="002C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C2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2C21A4"/>
  </w:style>
  <w:style w:type="character" w:styleId="ad">
    <w:name w:val="Hyperlink"/>
    <w:basedOn w:val="a0"/>
    <w:uiPriority w:val="99"/>
    <w:semiHidden/>
    <w:unhideWhenUsed/>
    <w:rsid w:val="002C21A4"/>
    <w:rPr>
      <w:color w:val="0000FF"/>
      <w:u w:val="single"/>
    </w:rPr>
  </w:style>
  <w:style w:type="paragraph" w:customStyle="1" w:styleId="ae">
    <w:name w:val="схема"/>
    <w:link w:val="af"/>
    <w:autoRedefine/>
    <w:uiPriority w:val="99"/>
    <w:rsid w:val="002C21A4"/>
    <w:pPr>
      <w:spacing w:after="0" w:line="240" w:lineRule="auto"/>
      <w:jc w:val="center"/>
    </w:pPr>
    <w:rPr>
      <w:rFonts w:ascii="Verdana" w:eastAsia="Times New Roman" w:hAnsi="Verdana" w:cs="Times New Roman"/>
      <w:lang w:eastAsia="ru-RU"/>
    </w:rPr>
  </w:style>
  <w:style w:type="character" w:customStyle="1" w:styleId="af">
    <w:name w:val="схема Знак"/>
    <w:link w:val="ae"/>
    <w:uiPriority w:val="99"/>
    <w:locked/>
    <w:rsid w:val="002C21A4"/>
    <w:rPr>
      <w:rFonts w:ascii="Verdana" w:eastAsia="Times New Roman" w:hAnsi="Verdana" w:cs="Times New Roman"/>
      <w:lang w:eastAsia="ru-RU"/>
    </w:rPr>
  </w:style>
  <w:style w:type="table" w:customStyle="1" w:styleId="4">
    <w:name w:val="Сетка таблицы4"/>
    <w:basedOn w:val="a1"/>
    <w:next w:val="a9"/>
    <w:uiPriority w:val="59"/>
    <w:rsid w:val="002C21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99"/>
    <w:rsid w:val="002C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2C21A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4354</Words>
  <Characters>24824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2022-05-12T20:00:00Z</dcterms:created>
  <dcterms:modified xsi:type="dcterms:W3CDTF">2022-09-15T05:22:00Z</dcterms:modified>
</cp:coreProperties>
</file>